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D9F" w:rsidRDefault="00616D9F" w:rsidP="00AD6DA4">
      <w:pPr>
        <w:pStyle w:val="Default"/>
        <w:jc w:val="center"/>
        <w:rPr>
          <w:rFonts w:ascii="Helvetica" w:hAnsi="Helvetica"/>
          <w:color w:val="666666"/>
          <w:sz w:val="17"/>
          <w:szCs w:val="17"/>
        </w:rPr>
      </w:pPr>
    </w:p>
    <w:p w:rsidR="00AD6DA4" w:rsidRPr="00616D9F" w:rsidRDefault="00AD6DA4" w:rsidP="00BC0455">
      <w:pPr>
        <w:pStyle w:val="Default"/>
        <w:jc w:val="center"/>
        <w:rPr>
          <w:b/>
          <w:bCs/>
          <w:sz w:val="32"/>
          <w:szCs w:val="32"/>
        </w:rPr>
      </w:pPr>
      <w:r w:rsidRPr="00616D9F">
        <w:rPr>
          <w:b/>
          <w:sz w:val="32"/>
          <w:szCs w:val="32"/>
        </w:rPr>
        <w:t>Multi-disciplinary</w:t>
      </w:r>
      <w:r w:rsidRPr="00616D9F">
        <w:rPr>
          <w:sz w:val="32"/>
          <w:szCs w:val="32"/>
        </w:rPr>
        <w:t xml:space="preserve"> </w:t>
      </w:r>
      <w:r w:rsidRPr="00616D9F">
        <w:rPr>
          <w:b/>
          <w:bCs/>
          <w:sz w:val="32"/>
          <w:szCs w:val="32"/>
        </w:rPr>
        <w:t>Conference - Call for Participation</w:t>
      </w:r>
    </w:p>
    <w:p w:rsidR="00AD6DA4" w:rsidRPr="00616D9F" w:rsidRDefault="00AD6DA4" w:rsidP="00BC0455">
      <w:pPr>
        <w:pStyle w:val="Default"/>
        <w:jc w:val="center"/>
        <w:rPr>
          <w:b/>
          <w:sz w:val="32"/>
          <w:szCs w:val="32"/>
        </w:rPr>
      </w:pPr>
    </w:p>
    <w:p w:rsidR="00AD6DA4" w:rsidRDefault="007738C7" w:rsidP="00BC0455">
      <w:pPr>
        <w:pStyle w:val="Default"/>
        <w:jc w:val="center"/>
        <w:rPr>
          <w:b/>
          <w:sz w:val="32"/>
          <w:szCs w:val="32"/>
        </w:rPr>
      </w:pPr>
      <w:r>
        <w:rPr>
          <w:b/>
          <w:sz w:val="32"/>
          <w:szCs w:val="32"/>
        </w:rPr>
        <w:t>‘Ageing, Physical A</w:t>
      </w:r>
      <w:r w:rsidR="00AD6DA4" w:rsidRPr="00616D9F">
        <w:rPr>
          <w:b/>
          <w:sz w:val="32"/>
          <w:szCs w:val="32"/>
        </w:rPr>
        <w:t>ctivity</w:t>
      </w:r>
      <w:r w:rsidR="00616D9F">
        <w:rPr>
          <w:b/>
          <w:sz w:val="32"/>
          <w:szCs w:val="32"/>
        </w:rPr>
        <w:t xml:space="preserve">, Recreation </w:t>
      </w:r>
      <w:r w:rsidR="00AD6DA4" w:rsidRPr="00616D9F">
        <w:rPr>
          <w:b/>
          <w:sz w:val="32"/>
          <w:szCs w:val="32"/>
        </w:rPr>
        <w:t>and Well-being’</w:t>
      </w:r>
    </w:p>
    <w:p w:rsidR="00A43914" w:rsidRPr="00616D9F" w:rsidRDefault="00A43914" w:rsidP="00BC0455">
      <w:pPr>
        <w:pStyle w:val="Default"/>
        <w:jc w:val="center"/>
        <w:rPr>
          <w:b/>
          <w:sz w:val="32"/>
          <w:szCs w:val="32"/>
        </w:rPr>
      </w:pPr>
      <w:r>
        <w:rPr>
          <w:b/>
          <w:sz w:val="32"/>
          <w:szCs w:val="32"/>
        </w:rPr>
        <w:t>Reaching diverse communities</w:t>
      </w:r>
    </w:p>
    <w:p w:rsidR="00AD6DA4" w:rsidRPr="00616D9F" w:rsidRDefault="00AD6DA4" w:rsidP="00BC0455">
      <w:pPr>
        <w:pStyle w:val="Default"/>
        <w:jc w:val="center"/>
        <w:rPr>
          <w:sz w:val="32"/>
          <w:szCs w:val="32"/>
        </w:rPr>
      </w:pPr>
    </w:p>
    <w:p w:rsidR="00B33457" w:rsidRPr="00616D9F" w:rsidRDefault="00B33457" w:rsidP="00B33457">
      <w:pPr>
        <w:spacing w:after="0" w:line="240" w:lineRule="auto"/>
        <w:jc w:val="center"/>
        <w:rPr>
          <w:sz w:val="24"/>
          <w:szCs w:val="24"/>
        </w:rPr>
      </w:pPr>
      <w:r w:rsidRPr="00616D9F">
        <w:rPr>
          <w:sz w:val="24"/>
          <w:szCs w:val="24"/>
        </w:rPr>
        <w:t xml:space="preserve">Date: </w:t>
      </w:r>
      <w:r w:rsidR="007738C7">
        <w:rPr>
          <w:b/>
          <w:sz w:val="24"/>
          <w:szCs w:val="24"/>
        </w:rPr>
        <w:t>Thursday 11</w:t>
      </w:r>
      <w:r w:rsidR="007738C7" w:rsidRPr="007738C7">
        <w:rPr>
          <w:b/>
          <w:sz w:val="24"/>
          <w:szCs w:val="24"/>
          <w:vertAlign w:val="superscript"/>
        </w:rPr>
        <w:t>th</w:t>
      </w:r>
      <w:r w:rsidR="007738C7">
        <w:rPr>
          <w:b/>
          <w:sz w:val="24"/>
          <w:szCs w:val="24"/>
        </w:rPr>
        <w:t xml:space="preserve">  June 2015</w:t>
      </w:r>
    </w:p>
    <w:p w:rsidR="00AD6DA4" w:rsidRPr="00314582" w:rsidRDefault="00AD6DA4" w:rsidP="00BC0455">
      <w:pPr>
        <w:pStyle w:val="Default"/>
        <w:jc w:val="center"/>
        <w:rPr>
          <w:b/>
          <w:bCs/>
        </w:rPr>
      </w:pPr>
    </w:p>
    <w:p w:rsidR="0000014F" w:rsidRDefault="00AD6DA4" w:rsidP="00B33457">
      <w:pPr>
        <w:spacing w:after="0" w:line="240" w:lineRule="auto"/>
        <w:jc w:val="center"/>
        <w:rPr>
          <w:b/>
          <w:sz w:val="24"/>
          <w:szCs w:val="24"/>
        </w:rPr>
      </w:pPr>
      <w:r w:rsidRPr="00616D9F">
        <w:rPr>
          <w:b/>
          <w:sz w:val="24"/>
          <w:szCs w:val="24"/>
        </w:rPr>
        <w:t>Hosted by: Buckinghamshire New University and ‘Movers &amp; Shakers’</w:t>
      </w:r>
    </w:p>
    <w:p w:rsidR="00B33457" w:rsidRPr="00616D9F" w:rsidRDefault="00B33457" w:rsidP="00B33457">
      <w:pPr>
        <w:spacing w:after="0" w:line="240" w:lineRule="auto"/>
        <w:jc w:val="center"/>
        <w:rPr>
          <w:b/>
          <w:sz w:val="24"/>
          <w:szCs w:val="24"/>
        </w:rPr>
      </w:pPr>
    </w:p>
    <w:p w:rsidR="00616D9F" w:rsidRDefault="00616D9F" w:rsidP="00B33457">
      <w:pPr>
        <w:spacing w:after="0" w:line="240" w:lineRule="auto"/>
        <w:jc w:val="center"/>
        <w:rPr>
          <w:b/>
          <w:sz w:val="24"/>
          <w:szCs w:val="24"/>
        </w:rPr>
      </w:pPr>
      <w:r w:rsidRPr="00616D9F">
        <w:rPr>
          <w:b/>
          <w:sz w:val="24"/>
          <w:szCs w:val="24"/>
        </w:rPr>
        <w:t>Venue: Gateway Building, Buckinghamshire New University, High Wycombe, Buckinghamshire,</w:t>
      </w:r>
      <w:r w:rsidR="00713AE2">
        <w:rPr>
          <w:b/>
          <w:sz w:val="24"/>
          <w:szCs w:val="24"/>
        </w:rPr>
        <w:t xml:space="preserve"> </w:t>
      </w:r>
      <w:r w:rsidR="00F02EB9">
        <w:rPr>
          <w:b/>
          <w:sz w:val="24"/>
          <w:szCs w:val="24"/>
        </w:rPr>
        <w:t>HP11</w:t>
      </w:r>
      <w:r w:rsidR="00713AE2">
        <w:rPr>
          <w:b/>
          <w:sz w:val="24"/>
          <w:szCs w:val="24"/>
        </w:rPr>
        <w:t xml:space="preserve"> 2JZ</w:t>
      </w:r>
    </w:p>
    <w:p w:rsidR="00B33457" w:rsidRDefault="00B33457" w:rsidP="00B33457">
      <w:pPr>
        <w:spacing w:after="0" w:line="240" w:lineRule="auto"/>
        <w:jc w:val="center"/>
        <w:rPr>
          <w:b/>
          <w:sz w:val="24"/>
          <w:szCs w:val="24"/>
        </w:rPr>
      </w:pPr>
    </w:p>
    <w:p w:rsidR="001E5F1C" w:rsidRDefault="00616D9F" w:rsidP="00405592">
      <w:pPr>
        <w:rPr>
          <w:b/>
          <w:sz w:val="24"/>
          <w:szCs w:val="24"/>
        </w:rPr>
      </w:pPr>
      <w:r>
        <w:rPr>
          <w:b/>
          <w:sz w:val="24"/>
          <w:szCs w:val="24"/>
        </w:rPr>
        <w:t xml:space="preserve">  </w:t>
      </w:r>
      <w:r w:rsidR="00713AE2">
        <w:rPr>
          <w:rFonts w:ascii="Helvetica" w:hAnsi="Helvetica"/>
          <w:noProof/>
          <w:color w:val="008DEB"/>
          <w:sz w:val="17"/>
          <w:szCs w:val="17"/>
          <w:lang w:eastAsia="en-GB"/>
        </w:rPr>
        <w:drawing>
          <wp:inline distT="0" distB="0" distL="0" distR="0">
            <wp:extent cx="1722120" cy="541020"/>
            <wp:effectExtent l="19050" t="0" r="0" b="0"/>
            <wp:docPr id="1" name="Picture 1" descr="Bucks New University">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cks New University"/>
                    <pic:cNvPicPr>
                      <a:picLocks noChangeAspect="1" noChangeArrowheads="1"/>
                    </pic:cNvPicPr>
                  </pic:nvPicPr>
                  <pic:blipFill>
                    <a:blip r:embed="rId9" cstate="print"/>
                    <a:srcRect/>
                    <a:stretch>
                      <a:fillRect/>
                    </a:stretch>
                  </pic:blipFill>
                  <pic:spPr bwMode="auto">
                    <a:xfrm>
                      <a:off x="0" y="0"/>
                      <a:ext cx="1722120" cy="541020"/>
                    </a:xfrm>
                    <a:prstGeom prst="rect">
                      <a:avLst/>
                    </a:prstGeom>
                    <a:noFill/>
                    <a:ln w="9525">
                      <a:noFill/>
                      <a:miter lim="800000"/>
                      <a:headEnd/>
                      <a:tailEnd/>
                    </a:ln>
                  </pic:spPr>
                </pic:pic>
              </a:graphicData>
            </a:graphic>
          </wp:inline>
        </w:drawing>
      </w:r>
      <w:r>
        <w:rPr>
          <w:rFonts w:ascii="Helvetica" w:hAnsi="Helvetica"/>
          <w:color w:val="666666"/>
          <w:sz w:val="17"/>
          <w:szCs w:val="17"/>
        </w:rPr>
        <w:t xml:space="preserve">   </w:t>
      </w:r>
      <w:r w:rsidR="000D5069">
        <w:rPr>
          <w:rFonts w:ascii="Helvetica" w:hAnsi="Helvetica"/>
          <w:color w:val="666666"/>
          <w:sz w:val="17"/>
          <w:szCs w:val="17"/>
        </w:rPr>
        <w:t xml:space="preserve">                             </w:t>
      </w:r>
      <w:r>
        <w:rPr>
          <w:rFonts w:ascii="Helvetica" w:hAnsi="Helvetica"/>
          <w:color w:val="666666"/>
          <w:sz w:val="17"/>
          <w:szCs w:val="17"/>
        </w:rPr>
        <w:t xml:space="preserve">  </w:t>
      </w:r>
      <w:r w:rsidR="00713AE2">
        <w:rPr>
          <w:b/>
          <w:noProof/>
          <w:sz w:val="24"/>
          <w:szCs w:val="24"/>
          <w:lang w:eastAsia="en-GB"/>
        </w:rPr>
        <w:drawing>
          <wp:inline distT="0" distB="0" distL="0" distR="0">
            <wp:extent cx="2145030" cy="876398"/>
            <wp:effectExtent l="1905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141780" cy="875070"/>
                    </a:xfrm>
                    <a:prstGeom prst="rect">
                      <a:avLst/>
                    </a:prstGeom>
                    <a:noFill/>
                    <a:ln w="9525">
                      <a:noFill/>
                      <a:miter lim="800000"/>
                      <a:headEnd/>
                      <a:tailEnd/>
                    </a:ln>
                  </pic:spPr>
                </pic:pic>
              </a:graphicData>
            </a:graphic>
          </wp:inline>
        </w:drawing>
      </w:r>
    </w:p>
    <w:p w:rsidR="001E5F1C" w:rsidRPr="00713AE2" w:rsidRDefault="001E5F1C" w:rsidP="001B5A51">
      <w:pPr>
        <w:spacing w:after="0" w:line="240" w:lineRule="auto"/>
        <w:contextualSpacing/>
        <w:rPr>
          <w:rFonts w:asciiTheme="minorHAnsi" w:hAnsiTheme="minorHAnsi"/>
          <w:b/>
        </w:rPr>
      </w:pPr>
      <w:r w:rsidRPr="00713AE2">
        <w:rPr>
          <w:rFonts w:asciiTheme="minorHAnsi" w:hAnsiTheme="minorHAnsi"/>
          <w:b/>
        </w:rPr>
        <w:t>Conference rationale:</w:t>
      </w:r>
    </w:p>
    <w:p w:rsidR="00236D03" w:rsidRPr="00713AE2" w:rsidRDefault="00405592" w:rsidP="001B5A51">
      <w:pPr>
        <w:spacing w:after="0" w:line="240" w:lineRule="auto"/>
        <w:contextualSpacing/>
        <w:jc w:val="both"/>
        <w:rPr>
          <w:rFonts w:asciiTheme="minorHAnsi" w:hAnsiTheme="minorHAnsi" w:cs="Arial"/>
        </w:rPr>
      </w:pPr>
      <w:r w:rsidRPr="00713AE2">
        <w:rPr>
          <w:rFonts w:asciiTheme="minorHAnsi" w:hAnsiTheme="minorHAnsi" w:cs="Arial"/>
          <w:color w:val="000000"/>
          <w:lang w:eastAsia="en-GB"/>
        </w:rPr>
        <w:t xml:space="preserve"> In every continent people are living longer lives in the 21st century. By 2050, older people are predicted to make up 22% of the world population with an increase in each major sector of the globe (United Nations Department of Ec</w:t>
      </w:r>
      <w:r w:rsidR="00616D9F" w:rsidRPr="00713AE2">
        <w:rPr>
          <w:rFonts w:asciiTheme="minorHAnsi" w:hAnsiTheme="minorHAnsi" w:cs="Arial"/>
          <w:color w:val="000000"/>
          <w:lang w:eastAsia="en-GB"/>
        </w:rPr>
        <w:t>onomic and Social Affairs, 2007</w:t>
      </w:r>
      <w:r w:rsidRPr="00713AE2">
        <w:rPr>
          <w:rFonts w:asciiTheme="minorHAnsi" w:hAnsiTheme="minorHAnsi" w:cs="Arial"/>
          <w:color w:val="000000"/>
          <w:lang w:eastAsia="en-GB"/>
        </w:rPr>
        <w:t>). The UK is no exception to the longevity of ageing in communities</w:t>
      </w:r>
      <w:r w:rsidR="00F65619">
        <w:rPr>
          <w:rFonts w:asciiTheme="minorHAnsi" w:hAnsiTheme="minorHAnsi" w:cs="Arial"/>
          <w:color w:val="000000"/>
          <w:lang w:eastAsia="en-GB"/>
        </w:rPr>
        <w:t xml:space="preserve">. </w:t>
      </w:r>
      <w:r w:rsidR="00236D03" w:rsidRPr="00713AE2">
        <w:rPr>
          <w:rFonts w:asciiTheme="minorHAnsi" w:hAnsiTheme="minorHAnsi" w:cs="Arial"/>
        </w:rPr>
        <w:t xml:space="preserve">This percentage is expected to rise to 40% by 2026. Policy-makers, the public and many older people do not always fully appreciate either the importance of physical activity and recreation in elders’ lives or the options available to deal with the process of ageing and well being. </w:t>
      </w:r>
      <w:r w:rsidR="00F65619">
        <w:rPr>
          <w:rFonts w:asciiTheme="minorHAnsi" w:hAnsiTheme="minorHAnsi" w:cs="Arial"/>
        </w:rPr>
        <w:t xml:space="preserve">Current research highlights the significance of </w:t>
      </w:r>
      <w:r w:rsidR="00F65619" w:rsidRPr="00713AE2">
        <w:rPr>
          <w:rFonts w:asciiTheme="minorHAnsi" w:hAnsiTheme="minorHAnsi" w:cs="Arial"/>
        </w:rPr>
        <w:t>maintaining</w:t>
      </w:r>
      <w:r w:rsidR="00F65619">
        <w:rPr>
          <w:rFonts w:asciiTheme="minorHAnsi" w:hAnsiTheme="minorHAnsi" w:cs="Arial"/>
        </w:rPr>
        <w:t xml:space="preserve"> and developing</w:t>
      </w:r>
      <w:r w:rsidR="00236D03" w:rsidRPr="00713AE2">
        <w:rPr>
          <w:rFonts w:asciiTheme="minorHAnsi" w:hAnsiTheme="minorHAnsi" w:cs="Arial"/>
        </w:rPr>
        <w:t xml:space="preserve"> active lifestyle</w:t>
      </w:r>
      <w:r w:rsidR="00F65619">
        <w:rPr>
          <w:rFonts w:asciiTheme="minorHAnsi" w:hAnsiTheme="minorHAnsi" w:cs="Arial"/>
        </w:rPr>
        <w:t>s to avoid medical conditions</w:t>
      </w:r>
      <w:r w:rsidR="00236D03" w:rsidRPr="00713AE2">
        <w:rPr>
          <w:rFonts w:asciiTheme="minorHAnsi" w:hAnsiTheme="minorHAnsi" w:cs="Arial"/>
        </w:rPr>
        <w:t xml:space="preserve"> </w:t>
      </w:r>
      <w:r w:rsidR="00F65619">
        <w:rPr>
          <w:rFonts w:asciiTheme="minorHAnsi" w:hAnsiTheme="minorHAnsi" w:cs="Arial"/>
        </w:rPr>
        <w:t>and provide for heath and well-being</w:t>
      </w:r>
      <w:r w:rsidR="00236D03" w:rsidRPr="00713AE2">
        <w:rPr>
          <w:rFonts w:asciiTheme="minorHAnsi" w:hAnsiTheme="minorHAnsi" w:cs="Arial"/>
        </w:rPr>
        <w:t xml:space="preserve"> </w:t>
      </w:r>
      <w:r w:rsidR="00F65619">
        <w:rPr>
          <w:rFonts w:asciiTheme="minorHAnsi" w:hAnsiTheme="minorHAnsi" w:cs="Arial"/>
        </w:rPr>
        <w:t>as one ages. This conference is particularly concerned to highlight community programmes developed within so called ‘hard to reach’ elders.</w:t>
      </w:r>
    </w:p>
    <w:p w:rsidR="00616D9F" w:rsidRPr="00713AE2" w:rsidRDefault="00616D9F" w:rsidP="00616D9F">
      <w:pPr>
        <w:spacing w:after="0"/>
        <w:jc w:val="both"/>
        <w:rPr>
          <w:rFonts w:asciiTheme="minorHAnsi" w:hAnsiTheme="minorHAnsi"/>
          <w:b/>
        </w:rPr>
      </w:pPr>
    </w:p>
    <w:p w:rsidR="001E5F1C" w:rsidRDefault="001E5F1C" w:rsidP="00616D9F">
      <w:pPr>
        <w:spacing w:after="0"/>
        <w:jc w:val="both"/>
        <w:rPr>
          <w:rFonts w:asciiTheme="minorHAnsi" w:hAnsiTheme="minorHAnsi"/>
          <w:b/>
        </w:rPr>
      </w:pPr>
      <w:r w:rsidRPr="00713AE2">
        <w:rPr>
          <w:rFonts w:asciiTheme="minorHAnsi" w:hAnsiTheme="minorHAnsi"/>
          <w:b/>
        </w:rPr>
        <w:t xml:space="preserve">The goals of the conference are to: </w:t>
      </w:r>
    </w:p>
    <w:p w:rsidR="00616D9F" w:rsidRPr="00713AE2" w:rsidRDefault="001E5F1C" w:rsidP="00616D9F">
      <w:pPr>
        <w:pStyle w:val="ListParagraph"/>
        <w:numPr>
          <w:ilvl w:val="0"/>
          <w:numId w:val="4"/>
        </w:numPr>
        <w:spacing w:after="0"/>
        <w:jc w:val="both"/>
        <w:rPr>
          <w:rFonts w:asciiTheme="minorHAnsi" w:hAnsiTheme="minorHAnsi" w:cs="Arial"/>
        </w:rPr>
      </w:pPr>
      <w:r w:rsidRPr="00713AE2">
        <w:rPr>
          <w:rFonts w:asciiTheme="minorHAnsi" w:hAnsiTheme="minorHAnsi" w:cs="Arial"/>
        </w:rPr>
        <w:t>Bring together practitioners, students, and researchers interested in community-based health/recreation promotion programmes for older adults</w:t>
      </w:r>
      <w:r w:rsidR="00616D9F" w:rsidRPr="00713AE2">
        <w:rPr>
          <w:rFonts w:asciiTheme="minorHAnsi" w:hAnsiTheme="minorHAnsi" w:cs="Arial"/>
        </w:rPr>
        <w:t xml:space="preserve"> and disseminate knowledge on physical activity and recreation interventions </w:t>
      </w:r>
    </w:p>
    <w:p w:rsidR="001E5F1C" w:rsidRPr="00A43914" w:rsidRDefault="001E5F1C" w:rsidP="00A43914">
      <w:pPr>
        <w:numPr>
          <w:ilvl w:val="0"/>
          <w:numId w:val="4"/>
        </w:numPr>
        <w:spacing w:after="0"/>
        <w:jc w:val="both"/>
        <w:rPr>
          <w:rFonts w:asciiTheme="minorHAnsi" w:hAnsiTheme="minorHAnsi" w:cs="Arial"/>
        </w:rPr>
      </w:pPr>
      <w:r w:rsidRPr="00A43914">
        <w:rPr>
          <w:rFonts w:asciiTheme="minorHAnsi" w:hAnsiTheme="minorHAnsi" w:cs="Arial"/>
        </w:rPr>
        <w:t>Facilitate collaboration, among the various stakeholders, about partnerships aimed at</w:t>
      </w:r>
      <w:r w:rsidR="00236D03" w:rsidRPr="00A43914">
        <w:rPr>
          <w:rFonts w:asciiTheme="minorHAnsi" w:hAnsiTheme="minorHAnsi" w:cs="Arial"/>
        </w:rPr>
        <w:t xml:space="preserve"> introducing health community initiatives.</w:t>
      </w:r>
      <w:r w:rsidRPr="00A43914">
        <w:rPr>
          <w:rFonts w:asciiTheme="minorHAnsi" w:hAnsiTheme="minorHAnsi" w:cs="Arial"/>
        </w:rPr>
        <w:t xml:space="preserve">   </w:t>
      </w:r>
    </w:p>
    <w:p w:rsidR="001E5F1C" w:rsidRPr="00713AE2" w:rsidRDefault="00236D03" w:rsidP="00616D9F">
      <w:pPr>
        <w:pStyle w:val="ListParagraph"/>
        <w:numPr>
          <w:ilvl w:val="0"/>
          <w:numId w:val="4"/>
        </w:numPr>
        <w:spacing w:after="0"/>
        <w:jc w:val="both"/>
        <w:rPr>
          <w:rFonts w:asciiTheme="minorHAnsi" w:hAnsiTheme="minorHAnsi" w:cs="Arial"/>
        </w:rPr>
      </w:pPr>
      <w:r w:rsidRPr="00713AE2">
        <w:rPr>
          <w:rFonts w:asciiTheme="minorHAnsi" w:hAnsiTheme="minorHAnsi" w:cs="Arial"/>
        </w:rPr>
        <w:t xml:space="preserve">Provide a platform for the </w:t>
      </w:r>
      <w:r w:rsidR="001E5F1C" w:rsidRPr="00713AE2">
        <w:rPr>
          <w:rFonts w:asciiTheme="minorHAnsi" w:hAnsiTheme="minorHAnsi" w:cs="Arial"/>
        </w:rPr>
        <w:t xml:space="preserve">local community </w:t>
      </w:r>
      <w:r w:rsidRPr="00713AE2">
        <w:rPr>
          <w:rFonts w:asciiTheme="minorHAnsi" w:hAnsiTheme="minorHAnsi" w:cs="Arial"/>
        </w:rPr>
        <w:t xml:space="preserve">to </w:t>
      </w:r>
      <w:r w:rsidR="001E5F1C" w:rsidRPr="00713AE2">
        <w:rPr>
          <w:rFonts w:asciiTheme="minorHAnsi" w:hAnsiTheme="minorHAnsi" w:cs="Arial"/>
        </w:rPr>
        <w:t xml:space="preserve">showcase </w:t>
      </w:r>
      <w:r w:rsidRPr="00713AE2">
        <w:rPr>
          <w:rFonts w:asciiTheme="minorHAnsi" w:hAnsiTheme="minorHAnsi" w:cs="Arial"/>
        </w:rPr>
        <w:t>the ‘M</w:t>
      </w:r>
      <w:r w:rsidR="001E5F1C" w:rsidRPr="00713AE2">
        <w:rPr>
          <w:rFonts w:asciiTheme="minorHAnsi" w:hAnsiTheme="minorHAnsi" w:cs="Arial"/>
        </w:rPr>
        <w:t xml:space="preserve">overs and </w:t>
      </w:r>
      <w:r w:rsidRPr="00713AE2">
        <w:rPr>
          <w:rFonts w:asciiTheme="minorHAnsi" w:hAnsiTheme="minorHAnsi" w:cs="Arial"/>
        </w:rPr>
        <w:t>S</w:t>
      </w:r>
      <w:r w:rsidR="001E5F1C" w:rsidRPr="00713AE2">
        <w:rPr>
          <w:rFonts w:asciiTheme="minorHAnsi" w:hAnsiTheme="minorHAnsi" w:cs="Arial"/>
        </w:rPr>
        <w:t>hakers</w:t>
      </w:r>
      <w:r w:rsidRPr="00713AE2">
        <w:rPr>
          <w:rFonts w:asciiTheme="minorHAnsi" w:hAnsiTheme="minorHAnsi" w:cs="Arial"/>
        </w:rPr>
        <w:t>’ initiative</w:t>
      </w:r>
      <w:r w:rsidR="00F65619">
        <w:rPr>
          <w:rFonts w:asciiTheme="minorHAnsi" w:hAnsiTheme="minorHAnsi" w:cs="Arial"/>
        </w:rPr>
        <w:t xml:space="preserve"> which brings together diverse communities</w:t>
      </w:r>
      <w:r w:rsidR="007C7BBF">
        <w:rPr>
          <w:rFonts w:asciiTheme="minorHAnsi" w:hAnsiTheme="minorHAnsi" w:cs="Arial"/>
        </w:rPr>
        <w:t xml:space="preserve"> in Buckinghamshire</w:t>
      </w:r>
      <w:r w:rsidR="00713AE2">
        <w:rPr>
          <w:rFonts w:asciiTheme="minorHAnsi" w:hAnsiTheme="minorHAnsi" w:cs="Arial"/>
        </w:rPr>
        <w:t>.</w:t>
      </w:r>
      <w:r w:rsidR="001E5F1C" w:rsidRPr="00713AE2">
        <w:rPr>
          <w:rFonts w:asciiTheme="minorHAnsi" w:hAnsiTheme="minorHAnsi" w:cs="Arial"/>
        </w:rPr>
        <w:t xml:space="preserve"> </w:t>
      </w:r>
    </w:p>
    <w:p w:rsidR="001B5A51" w:rsidRDefault="001B5A51" w:rsidP="00713AE2">
      <w:pPr>
        <w:spacing w:after="0" w:line="240" w:lineRule="auto"/>
        <w:rPr>
          <w:b/>
        </w:rPr>
      </w:pPr>
    </w:p>
    <w:p w:rsidR="001E5F1C" w:rsidRPr="0000014F" w:rsidRDefault="001E5F1C" w:rsidP="00713AE2">
      <w:pPr>
        <w:spacing w:after="0" w:line="240" w:lineRule="auto"/>
        <w:rPr>
          <w:b/>
        </w:rPr>
      </w:pPr>
      <w:r>
        <w:rPr>
          <w:b/>
        </w:rPr>
        <w:t xml:space="preserve">Conference </w:t>
      </w:r>
      <w:r w:rsidRPr="0000014F">
        <w:rPr>
          <w:b/>
        </w:rPr>
        <w:t xml:space="preserve">Themes </w:t>
      </w:r>
    </w:p>
    <w:p w:rsidR="001B5A51" w:rsidRPr="0000014F" w:rsidRDefault="001B5A51" w:rsidP="001B5A51">
      <w:pPr>
        <w:numPr>
          <w:ilvl w:val="0"/>
          <w:numId w:val="6"/>
        </w:numPr>
        <w:spacing w:after="0" w:line="240" w:lineRule="auto"/>
      </w:pPr>
      <w:r>
        <w:t>Reaching diverse communities: approaches and methods</w:t>
      </w:r>
      <w:r w:rsidRPr="0000014F">
        <w:t xml:space="preserve">  </w:t>
      </w:r>
    </w:p>
    <w:p w:rsidR="001E5F1C" w:rsidRPr="0000014F" w:rsidRDefault="001E5F1C" w:rsidP="00713AE2">
      <w:pPr>
        <w:numPr>
          <w:ilvl w:val="0"/>
          <w:numId w:val="6"/>
        </w:numPr>
        <w:spacing w:after="0" w:line="240" w:lineRule="auto"/>
      </w:pPr>
      <w:r w:rsidRPr="0000014F">
        <w:t>Active Leisure and Ageing Well: Programmes Designed to Meet the Health  Needs of Older Persons</w:t>
      </w:r>
    </w:p>
    <w:p w:rsidR="001E5F1C" w:rsidRPr="0000014F" w:rsidRDefault="001E5F1C" w:rsidP="00713AE2">
      <w:pPr>
        <w:numPr>
          <w:ilvl w:val="0"/>
          <w:numId w:val="6"/>
        </w:numPr>
        <w:spacing w:after="0" w:line="240" w:lineRule="auto"/>
      </w:pPr>
      <w:r w:rsidRPr="0000014F">
        <w:lastRenderedPageBreak/>
        <w:t>Evidence-Based Programmes: Research on Life Style Interventions for Elders</w:t>
      </w:r>
    </w:p>
    <w:p w:rsidR="001E5F1C" w:rsidRPr="0000014F" w:rsidRDefault="001E5F1C" w:rsidP="00713AE2">
      <w:pPr>
        <w:numPr>
          <w:ilvl w:val="0"/>
          <w:numId w:val="6"/>
        </w:numPr>
        <w:spacing w:after="0" w:line="240" w:lineRule="auto"/>
      </w:pPr>
      <w:r w:rsidRPr="0000014F">
        <w:t>Reminiscence, Mind Work and Other Research or Cognitive Based Approaches</w:t>
      </w:r>
    </w:p>
    <w:p w:rsidR="001B5A51" w:rsidRDefault="001E5F1C" w:rsidP="00713AE2">
      <w:pPr>
        <w:numPr>
          <w:ilvl w:val="0"/>
          <w:numId w:val="6"/>
        </w:numPr>
        <w:spacing w:after="0" w:line="240" w:lineRule="auto"/>
      </w:pPr>
      <w:r w:rsidRPr="0000014F">
        <w:t>Gerontological Service Learning Opportunities for Universities</w:t>
      </w:r>
    </w:p>
    <w:p w:rsidR="001B5A51" w:rsidRDefault="001B5A51" w:rsidP="00B33457">
      <w:pPr>
        <w:spacing w:after="0"/>
        <w:rPr>
          <w:b/>
        </w:rPr>
      </w:pPr>
    </w:p>
    <w:p w:rsidR="001E5F1C" w:rsidRPr="0000014F" w:rsidRDefault="001E5F1C" w:rsidP="00B33457">
      <w:pPr>
        <w:spacing w:after="0"/>
      </w:pPr>
      <w:r w:rsidRPr="0000014F">
        <w:rPr>
          <w:b/>
        </w:rPr>
        <w:t>Who is the conference for</w:t>
      </w:r>
      <w:r w:rsidRPr="0000014F">
        <w:t>?</w:t>
      </w:r>
    </w:p>
    <w:p w:rsidR="001E5F1C" w:rsidRPr="0000014F" w:rsidRDefault="001E5F1C" w:rsidP="00B33457">
      <w:pPr>
        <w:numPr>
          <w:ilvl w:val="0"/>
          <w:numId w:val="7"/>
        </w:numPr>
        <w:spacing w:after="0" w:line="240" w:lineRule="auto"/>
      </w:pPr>
      <w:r w:rsidRPr="0000014F">
        <w:t>Practitioners involved in intervention program</w:t>
      </w:r>
      <w:r w:rsidR="007738C7">
        <w:t>me</w:t>
      </w:r>
      <w:r w:rsidRPr="0000014F">
        <w:t>s for seniors</w:t>
      </w:r>
    </w:p>
    <w:p w:rsidR="001E5F1C" w:rsidRDefault="001E5F1C" w:rsidP="00713AE2">
      <w:pPr>
        <w:numPr>
          <w:ilvl w:val="0"/>
          <w:numId w:val="7"/>
        </w:numPr>
        <w:spacing w:after="0" w:line="240" w:lineRule="auto"/>
      </w:pPr>
      <w:r w:rsidRPr="0000014F">
        <w:t xml:space="preserve">Academics and researchers involved in physical activity, </w:t>
      </w:r>
      <w:r w:rsidR="00236D03">
        <w:t xml:space="preserve">recreation, </w:t>
      </w:r>
      <w:r w:rsidRPr="0000014F">
        <w:t>nutrition, stress management, and social support systems</w:t>
      </w:r>
    </w:p>
    <w:p w:rsidR="00A43914" w:rsidRPr="0000014F" w:rsidRDefault="00713AE2" w:rsidP="00713AE2">
      <w:pPr>
        <w:numPr>
          <w:ilvl w:val="0"/>
          <w:numId w:val="7"/>
        </w:numPr>
        <w:spacing w:after="0" w:line="240" w:lineRule="auto"/>
      </w:pPr>
      <w:r>
        <w:t xml:space="preserve">Community service </w:t>
      </w:r>
      <w:r w:rsidR="00A43914">
        <w:t xml:space="preserve">policy-makers,  </w:t>
      </w:r>
      <w:r>
        <w:t>providers and users</w:t>
      </w:r>
      <w:r w:rsidR="007C7BBF">
        <w:t>, p</w:t>
      </w:r>
      <w:r w:rsidR="00A43914">
        <w:t>ublic health officials</w:t>
      </w:r>
    </w:p>
    <w:p w:rsidR="00B33457" w:rsidRDefault="00B33457" w:rsidP="00B33457">
      <w:pPr>
        <w:spacing w:after="0"/>
        <w:rPr>
          <w:b/>
        </w:rPr>
      </w:pPr>
    </w:p>
    <w:p w:rsidR="001E5F1C" w:rsidRPr="0000014F" w:rsidRDefault="001E5F1C" w:rsidP="00B33457">
      <w:pPr>
        <w:spacing w:after="0"/>
        <w:rPr>
          <w:b/>
        </w:rPr>
      </w:pPr>
      <w:r w:rsidRPr="0000014F">
        <w:rPr>
          <w:b/>
        </w:rPr>
        <w:t>Keynote Speakers</w:t>
      </w:r>
    </w:p>
    <w:p w:rsidR="00F65619" w:rsidRPr="007C7BBF" w:rsidRDefault="001E5F1C" w:rsidP="007C7BBF">
      <w:pPr>
        <w:pStyle w:val="ListParagraph"/>
        <w:numPr>
          <w:ilvl w:val="0"/>
          <w:numId w:val="10"/>
        </w:numPr>
        <w:spacing w:after="0" w:line="240" w:lineRule="auto"/>
        <w:rPr>
          <w:bCs/>
          <w:i/>
        </w:rPr>
      </w:pPr>
      <w:r w:rsidRPr="007C7BBF">
        <w:rPr>
          <w:bCs/>
        </w:rPr>
        <w:t>Carol Cutler Riddick</w:t>
      </w:r>
      <w:r w:rsidRPr="007C7BBF">
        <w:rPr>
          <w:bCs/>
          <w:i/>
        </w:rPr>
        <w:t xml:space="preserve">, Professor of </w:t>
      </w:r>
      <w:r w:rsidR="007C7BBF">
        <w:rPr>
          <w:bCs/>
          <w:i/>
        </w:rPr>
        <w:t>G</w:t>
      </w:r>
      <w:r w:rsidRPr="007C7BBF">
        <w:rPr>
          <w:bCs/>
          <w:i/>
        </w:rPr>
        <w:t>erontology</w:t>
      </w:r>
      <w:r w:rsidR="007C7BBF">
        <w:rPr>
          <w:bCs/>
          <w:i/>
        </w:rPr>
        <w:t xml:space="preserve">, </w:t>
      </w:r>
      <w:r w:rsidRPr="007C7BBF">
        <w:rPr>
          <w:bCs/>
          <w:i/>
        </w:rPr>
        <w:t>Gallaudet</w:t>
      </w:r>
      <w:r w:rsidR="00236D03" w:rsidRPr="007C7BBF">
        <w:rPr>
          <w:bCs/>
          <w:i/>
        </w:rPr>
        <w:t xml:space="preserve"> </w:t>
      </w:r>
      <w:r w:rsidRPr="007C7BBF">
        <w:rPr>
          <w:bCs/>
          <w:i/>
        </w:rPr>
        <w:t xml:space="preserve"> University, U.S.A </w:t>
      </w:r>
    </w:p>
    <w:p w:rsidR="001E5F1C" w:rsidRPr="007C7BBF" w:rsidRDefault="00F65619" w:rsidP="007C7BBF">
      <w:pPr>
        <w:pStyle w:val="ListParagraph"/>
        <w:numPr>
          <w:ilvl w:val="0"/>
          <w:numId w:val="10"/>
        </w:numPr>
        <w:spacing w:after="0" w:line="240" w:lineRule="auto"/>
        <w:rPr>
          <w:bCs/>
          <w:i/>
        </w:rPr>
      </w:pPr>
      <w:r w:rsidRPr="007C7BBF">
        <w:rPr>
          <w:bCs/>
          <w:i/>
        </w:rPr>
        <w:t xml:space="preserve">Others tbc </w:t>
      </w:r>
      <w:r w:rsidR="001E5F1C" w:rsidRPr="007C7BBF">
        <w:rPr>
          <w:bCs/>
        </w:rPr>
        <w:t xml:space="preserve"> </w:t>
      </w:r>
    </w:p>
    <w:p w:rsidR="001B5A51" w:rsidRDefault="001B5A51" w:rsidP="00B33457">
      <w:pPr>
        <w:spacing w:after="0"/>
        <w:rPr>
          <w:b/>
          <w:bCs/>
        </w:rPr>
      </w:pPr>
    </w:p>
    <w:p w:rsidR="0000014F" w:rsidRPr="0000014F" w:rsidRDefault="0000014F" w:rsidP="00B33457">
      <w:pPr>
        <w:spacing w:after="0"/>
        <w:rPr>
          <w:b/>
          <w:bCs/>
        </w:rPr>
      </w:pPr>
      <w:r w:rsidRPr="0000014F">
        <w:rPr>
          <w:b/>
          <w:bCs/>
        </w:rPr>
        <w:t>Where</w:t>
      </w:r>
    </w:p>
    <w:p w:rsidR="00713AE2" w:rsidRPr="00713AE2" w:rsidRDefault="00713AE2" w:rsidP="00B33457">
      <w:pPr>
        <w:spacing w:after="0" w:line="240" w:lineRule="auto"/>
      </w:pPr>
      <w:r>
        <w:t xml:space="preserve">Queen Alexandra Road, </w:t>
      </w:r>
      <w:r w:rsidRPr="00713AE2">
        <w:t>Buckinghamshire New University, High Wycombe, Buckinghamshire, HP11 2JZ</w:t>
      </w:r>
      <w:r>
        <w:t xml:space="preserve">. A map with travel details and location can be accessed via the following link: </w:t>
      </w:r>
    </w:p>
    <w:p w:rsidR="00713AE2" w:rsidRDefault="00981E91" w:rsidP="0000014F">
      <w:pPr>
        <w:rPr>
          <w:bCs/>
        </w:rPr>
      </w:pPr>
      <w:hyperlink r:id="rId11" w:history="1">
        <w:r w:rsidR="00713AE2" w:rsidRPr="00E07607">
          <w:rPr>
            <w:rStyle w:val="Hyperlink"/>
            <w:bCs/>
          </w:rPr>
          <w:t>http://bucks.ac.uk/content/documents/Campus_Environment/Maps/High_Wycombe_Campus_map.pdf</w:t>
        </w:r>
      </w:hyperlink>
    </w:p>
    <w:p w:rsidR="00B33457" w:rsidRPr="0000014F" w:rsidRDefault="00B33457" w:rsidP="00B33457">
      <w:pPr>
        <w:spacing w:after="0"/>
        <w:rPr>
          <w:b/>
          <w:bCs/>
        </w:rPr>
      </w:pPr>
      <w:r w:rsidRPr="0000014F">
        <w:rPr>
          <w:b/>
          <w:bCs/>
        </w:rPr>
        <w:t>Organisers</w:t>
      </w:r>
    </w:p>
    <w:p w:rsidR="00B33457" w:rsidRDefault="00B33457" w:rsidP="00B33457">
      <w:pPr>
        <w:spacing w:after="0" w:line="240" w:lineRule="auto"/>
        <w:rPr>
          <w:bCs/>
        </w:rPr>
      </w:pPr>
      <w:r>
        <w:rPr>
          <w:bCs/>
        </w:rPr>
        <w:t xml:space="preserve">Professor </w:t>
      </w:r>
      <w:r w:rsidRPr="0000014F">
        <w:rPr>
          <w:bCs/>
        </w:rPr>
        <w:t>Barbara Humberstone</w:t>
      </w:r>
      <w:r>
        <w:rPr>
          <w:bCs/>
        </w:rPr>
        <w:t xml:space="preserve"> – Professor of Sociology of Sport</w:t>
      </w:r>
    </w:p>
    <w:p w:rsidR="00B33457" w:rsidRDefault="00B33457" w:rsidP="00B33457">
      <w:pPr>
        <w:spacing w:after="0" w:line="240" w:lineRule="auto"/>
        <w:rPr>
          <w:bCs/>
        </w:rPr>
      </w:pPr>
      <w:r>
        <w:rPr>
          <w:bCs/>
        </w:rPr>
        <w:t>Dr Maria Konstantaki – Senior Lecturer in Sport and Exercise Science</w:t>
      </w:r>
    </w:p>
    <w:p w:rsidR="00B33457" w:rsidRPr="0000014F" w:rsidRDefault="00B33457" w:rsidP="00B33457">
      <w:pPr>
        <w:spacing w:after="0" w:line="240" w:lineRule="auto"/>
        <w:rPr>
          <w:bCs/>
        </w:rPr>
      </w:pPr>
      <w:r>
        <w:rPr>
          <w:bCs/>
        </w:rPr>
        <w:t xml:space="preserve">Olga McBarnett </w:t>
      </w:r>
      <w:r w:rsidR="007C7BBF">
        <w:rPr>
          <w:bCs/>
        </w:rPr>
        <w:t xml:space="preserve">–Bucks County Council </w:t>
      </w:r>
      <w:r w:rsidR="00A43914" w:rsidRPr="00A43914">
        <w:rPr>
          <w:bCs/>
        </w:rPr>
        <w:t xml:space="preserve">Community Development Lead </w:t>
      </w:r>
    </w:p>
    <w:p w:rsidR="00B33457" w:rsidRDefault="00B33457" w:rsidP="00B33457">
      <w:pPr>
        <w:spacing w:after="0"/>
        <w:rPr>
          <w:b/>
          <w:bCs/>
        </w:rPr>
      </w:pPr>
    </w:p>
    <w:p w:rsidR="00713AE2" w:rsidRDefault="00713AE2" w:rsidP="00B33457">
      <w:pPr>
        <w:spacing w:after="0"/>
        <w:rPr>
          <w:b/>
          <w:bCs/>
        </w:rPr>
      </w:pPr>
      <w:r>
        <w:rPr>
          <w:b/>
          <w:bCs/>
        </w:rPr>
        <w:t>Call for papers</w:t>
      </w:r>
      <w:r w:rsidR="001B5A51">
        <w:rPr>
          <w:b/>
          <w:bCs/>
        </w:rPr>
        <w:t xml:space="preserve"> to be presented at the conference</w:t>
      </w:r>
    </w:p>
    <w:p w:rsidR="001B5A51" w:rsidRDefault="00B33457" w:rsidP="00B33457">
      <w:pPr>
        <w:spacing w:after="0"/>
      </w:pPr>
      <w:r>
        <w:t xml:space="preserve">Conference presentation will be 20 minutes including questions. </w:t>
      </w:r>
    </w:p>
    <w:p w:rsidR="007C7BBF" w:rsidRDefault="007C7BBF" w:rsidP="00B33457">
      <w:pPr>
        <w:spacing w:after="0"/>
        <w:rPr>
          <w:b/>
          <w:bCs/>
        </w:rPr>
      </w:pPr>
    </w:p>
    <w:p w:rsidR="00B33457" w:rsidRPr="00BD1188" w:rsidRDefault="00B33457" w:rsidP="00B33457">
      <w:pPr>
        <w:spacing w:after="0"/>
      </w:pPr>
      <w:r>
        <w:rPr>
          <w:b/>
          <w:bCs/>
        </w:rPr>
        <w:t xml:space="preserve">Abstract </w:t>
      </w:r>
      <w:r w:rsidRPr="00BD1188">
        <w:rPr>
          <w:b/>
          <w:bCs/>
        </w:rPr>
        <w:t xml:space="preserve">Submission </w:t>
      </w:r>
      <w:r w:rsidRPr="00BD1188">
        <w:br/>
        <w:t>250-350 words, structured as follows and submitted by email to</w:t>
      </w:r>
      <w:r>
        <w:t>:</w:t>
      </w:r>
      <w:r w:rsidRPr="00BD1188">
        <w:t xml:space="preserve"> </w:t>
      </w:r>
      <w:hyperlink r:id="rId12" w:history="1">
        <w:r w:rsidRPr="00A6309A">
          <w:rPr>
            <w:rStyle w:val="Hyperlink"/>
          </w:rPr>
          <w:t>maria.konstantaki@bucks.ac.uk</w:t>
        </w:r>
      </w:hyperlink>
      <w:r>
        <w:t xml:space="preserve"> and </w:t>
      </w:r>
      <w:hyperlink r:id="rId13" w:history="1">
        <w:r w:rsidRPr="00A6309A">
          <w:rPr>
            <w:rStyle w:val="Hyperlink"/>
          </w:rPr>
          <w:t>barbara.humbestone@bucks.ac.uk</w:t>
        </w:r>
      </w:hyperlink>
      <w:r>
        <w:t xml:space="preserve"> </w:t>
      </w:r>
    </w:p>
    <w:p w:rsidR="00B33457" w:rsidRPr="00BD1188" w:rsidRDefault="00B33457" w:rsidP="00B33457">
      <w:pPr>
        <w:pStyle w:val="ListParagraph"/>
        <w:numPr>
          <w:ilvl w:val="0"/>
          <w:numId w:val="9"/>
        </w:numPr>
      </w:pPr>
      <w:r w:rsidRPr="00BD1188">
        <w:t xml:space="preserve">Full title of paper </w:t>
      </w:r>
    </w:p>
    <w:p w:rsidR="00B33457" w:rsidRPr="00BD1188" w:rsidRDefault="00B33457" w:rsidP="00B33457">
      <w:pPr>
        <w:pStyle w:val="ListParagraph"/>
        <w:numPr>
          <w:ilvl w:val="0"/>
          <w:numId w:val="9"/>
        </w:numPr>
      </w:pPr>
      <w:r w:rsidRPr="00BD1188">
        <w:t>Abstract main body</w:t>
      </w:r>
      <w:r w:rsidR="007C7BBF">
        <w:t>:</w:t>
      </w:r>
      <w:r w:rsidRPr="00BD1188">
        <w:t xml:space="preserve"> background (outline of the policy context and/or academic literature informing the research), methodological approach and significance (description and application of the original research findings reported in the paper)</w:t>
      </w:r>
      <w:r w:rsidR="007C7BBF">
        <w:t>.</w:t>
      </w:r>
    </w:p>
    <w:p w:rsidR="00B33457" w:rsidRDefault="00B33457" w:rsidP="00B33457">
      <w:pPr>
        <w:pStyle w:val="ListParagraph"/>
        <w:numPr>
          <w:ilvl w:val="0"/>
          <w:numId w:val="9"/>
        </w:numPr>
      </w:pPr>
      <w:r w:rsidRPr="00BD1188">
        <w:t xml:space="preserve">Author biography: 100-150 words </w:t>
      </w:r>
      <w:r w:rsidR="007C7BBF">
        <w:t>(</w:t>
      </w:r>
      <w:r w:rsidRPr="00BD1188">
        <w:t>position, field of study, main research interests</w:t>
      </w:r>
      <w:r w:rsidR="007C7BBF">
        <w:t xml:space="preserve">, </w:t>
      </w:r>
      <w:r w:rsidRPr="00BD1188">
        <w:t>key publications and full professional contact details</w:t>
      </w:r>
      <w:r w:rsidR="007C7BBF">
        <w:t>)</w:t>
      </w:r>
      <w:r>
        <w:t>.</w:t>
      </w:r>
    </w:p>
    <w:p w:rsidR="00D44545" w:rsidRDefault="00D44545" w:rsidP="007C7BBF">
      <w:pPr>
        <w:spacing w:after="0"/>
        <w:rPr>
          <w:b/>
          <w:bCs/>
        </w:rPr>
      </w:pPr>
      <w:r w:rsidRPr="00D44545">
        <w:rPr>
          <w:b/>
        </w:rPr>
        <w:t>Closing Date:</w:t>
      </w:r>
      <w:r>
        <w:t xml:space="preserve"> </w:t>
      </w:r>
      <w:r w:rsidR="001B5A51">
        <w:rPr>
          <w:b/>
          <w:bCs/>
        </w:rPr>
        <w:t>1</w:t>
      </w:r>
      <w:r w:rsidR="001B5A51" w:rsidRPr="00F65619">
        <w:rPr>
          <w:b/>
          <w:bCs/>
          <w:vertAlign w:val="superscript"/>
        </w:rPr>
        <w:t>st</w:t>
      </w:r>
      <w:r w:rsidR="001B5A51">
        <w:rPr>
          <w:b/>
          <w:bCs/>
        </w:rPr>
        <w:t xml:space="preserve"> </w:t>
      </w:r>
      <w:r w:rsidR="0004031D">
        <w:rPr>
          <w:b/>
          <w:bCs/>
        </w:rPr>
        <w:t>April</w:t>
      </w:r>
      <w:r w:rsidR="001B5A51">
        <w:rPr>
          <w:b/>
          <w:bCs/>
        </w:rPr>
        <w:t xml:space="preserve"> 2015</w:t>
      </w:r>
    </w:p>
    <w:p w:rsidR="007C7BBF" w:rsidRDefault="001B5A51" w:rsidP="007C7BBF">
      <w:pPr>
        <w:spacing w:after="0"/>
        <w:rPr>
          <w:bCs/>
        </w:rPr>
      </w:pPr>
      <w:r>
        <w:rPr>
          <w:bCs/>
        </w:rPr>
        <w:t xml:space="preserve">Authors will be notified of acceptance of their paper for presentation by </w:t>
      </w:r>
      <w:r w:rsidR="0004031D">
        <w:rPr>
          <w:bCs/>
        </w:rPr>
        <w:t>30</w:t>
      </w:r>
      <w:r w:rsidR="0004031D" w:rsidRPr="0004031D">
        <w:rPr>
          <w:bCs/>
          <w:vertAlign w:val="superscript"/>
        </w:rPr>
        <w:t>th</w:t>
      </w:r>
      <w:r w:rsidR="0004031D">
        <w:rPr>
          <w:bCs/>
        </w:rPr>
        <w:t xml:space="preserve"> April</w:t>
      </w:r>
      <w:bookmarkStart w:id="0" w:name="_GoBack"/>
      <w:bookmarkEnd w:id="0"/>
      <w:r>
        <w:rPr>
          <w:bCs/>
        </w:rPr>
        <w:t xml:space="preserve"> 2015.</w:t>
      </w:r>
    </w:p>
    <w:p w:rsidR="007C7BBF" w:rsidRDefault="007C7BBF" w:rsidP="007C7BBF">
      <w:pPr>
        <w:spacing w:after="0"/>
        <w:rPr>
          <w:b/>
          <w:bCs/>
        </w:rPr>
      </w:pPr>
    </w:p>
    <w:p w:rsidR="00D76D35" w:rsidRDefault="00B33457" w:rsidP="007C7BBF">
      <w:pPr>
        <w:spacing w:after="0"/>
        <w:rPr>
          <w:lang w:val="en-US"/>
        </w:rPr>
      </w:pPr>
      <w:r w:rsidRPr="00B33457">
        <w:rPr>
          <w:b/>
          <w:bCs/>
        </w:rPr>
        <w:t>Administration</w:t>
      </w:r>
      <w:r w:rsidR="001B5A51">
        <w:rPr>
          <w:b/>
          <w:bCs/>
        </w:rPr>
        <w:t>:</w:t>
      </w:r>
      <w:r w:rsidRPr="00B33457">
        <w:rPr>
          <w:b/>
          <w:bCs/>
        </w:rPr>
        <w:t xml:space="preserve"> </w:t>
      </w:r>
      <w:r w:rsidR="00A43914">
        <w:rPr>
          <w:lang w:val="en-US"/>
        </w:rPr>
        <w:t>Cost Full day fee is £40</w:t>
      </w:r>
      <w:r w:rsidR="00F65619">
        <w:rPr>
          <w:lang w:val="en-US"/>
        </w:rPr>
        <w:t>:</w:t>
      </w:r>
      <w:r w:rsidRPr="00B33457">
        <w:rPr>
          <w:lang w:val="en-US"/>
        </w:rPr>
        <w:t xml:space="preserve"> Concessions (student and non-waged) £20</w:t>
      </w:r>
      <w:r>
        <w:rPr>
          <w:lang w:val="en-US"/>
        </w:rPr>
        <w:t>.</w:t>
      </w:r>
      <w:r w:rsidR="00D44545">
        <w:rPr>
          <w:lang w:val="en-US"/>
        </w:rPr>
        <w:t xml:space="preserve"> </w:t>
      </w:r>
    </w:p>
    <w:p w:rsidR="00F93000" w:rsidRDefault="00F93000" w:rsidP="007C7BBF">
      <w:pPr>
        <w:spacing w:after="0"/>
        <w:rPr>
          <w:lang w:val="en-US"/>
        </w:rPr>
      </w:pPr>
    </w:p>
    <w:p w:rsidR="00F93000" w:rsidRDefault="00981E91" w:rsidP="007C7BBF">
      <w:pPr>
        <w:spacing w:after="0"/>
      </w:pPr>
      <w:hyperlink r:id="rId14" w:history="1">
        <w:r w:rsidR="00F93000">
          <w:rPr>
            <w:rStyle w:val="Hyperlink"/>
          </w:rPr>
          <w:t>http://bucks.ac.uk/ageingwellconference</w:t>
        </w:r>
      </w:hyperlink>
      <w:r w:rsidR="00F93000">
        <w:rPr>
          <w:color w:val="1F497D"/>
        </w:rPr>
        <w:t xml:space="preserve">  </w:t>
      </w:r>
    </w:p>
    <w:sectPr w:rsidR="00F93000" w:rsidSect="004F778C">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E91" w:rsidRDefault="00981E91" w:rsidP="00922554">
      <w:pPr>
        <w:spacing w:after="0" w:line="240" w:lineRule="auto"/>
      </w:pPr>
      <w:r>
        <w:separator/>
      </w:r>
    </w:p>
  </w:endnote>
  <w:endnote w:type="continuationSeparator" w:id="0">
    <w:p w:rsidR="00981E91" w:rsidRDefault="00981E91" w:rsidP="00922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E91" w:rsidRDefault="00981E91" w:rsidP="00922554">
      <w:pPr>
        <w:spacing w:after="0" w:line="240" w:lineRule="auto"/>
      </w:pPr>
      <w:r>
        <w:separator/>
      </w:r>
    </w:p>
  </w:footnote>
  <w:footnote w:type="continuationSeparator" w:id="0">
    <w:p w:rsidR="00981E91" w:rsidRDefault="00981E91" w:rsidP="009225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85E79"/>
    <w:multiLevelType w:val="hybridMultilevel"/>
    <w:tmpl w:val="0BD442D8"/>
    <w:lvl w:ilvl="0" w:tplc="956A7E24">
      <w:start w:val="1"/>
      <w:numFmt w:val="bullet"/>
      <w:lvlText w:val=""/>
      <w:lvlJc w:val="left"/>
      <w:pPr>
        <w:tabs>
          <w:tab w:val="num" w:pos="0"/>
        </w:tabs>
        <w:ind w:left="0" w:firstLine="0"/>
      </w:pPr>
      <w:rPr>
        <w:rFonts w:ascii="Symbol" w:hAnsi="Symbol" w:hint="default"/>
      </w:rPr>
    </w:lvl>
    <w:lvl w:ilvl="1" w:tplc="04090003">
      <w:start w:val="1"/>
      <w:numFmt w:val="bullet"/>
      <w:lvlText w:val="o"/>
      <w:lvlJc w:val="left"/>
      <w:pPr>
        <w:tabs>
          <w:tab w:val="num" w:pos="760"/>
        </w:tabs>
        <w:ind w:left="760" w:hanging="360"/>
      </w:pPr>
      <w:rPr>
        <w:rFonts w:ascii="Courier New" w:hAnsi="Courier New" w:cs="Courier New" w:hint="default"/>
      </w:rPr>
    </w:lvl>
    <w:lvl w:ilvl="2" w:tplc="04090005" w:tentative="1">
      <w:start w:val="1"/>
      <w:numFmt w:val="bullet"/>
      <w:lvlText w:val=""/>
      <w:lvlJc w:val="left"/>
      <w:pPr>
        <w:tabs>
          <w:tab w:val="num" w:pos="1480"/>
        </w:tabs>
        <w:ind w:left="1480" w:hanging="360"/>
      </w:pPr>
      <w:rPr>
        <w:rFonts w:ascii="Wingdings" w:hAnsi="Wingdings" w:hint="default"/>
      </w:rPr>
    </w:lvl>
    <w:lvl w:ilvl="3" w:tplc="04090001" w:tentative="1">
      <w:start w:val="1"/>
      <w:numFmt w:val="bullet"/>
      <w:lvlText w:val=""/>
      <w:lvlJc w:val="left"/>
      <w:pPr>
        <w:tabs>
          <w:tab w:val="num" w:pos="2200"/>
        </w:tabs>
        <w:ind w:left="2200" w:hanging="360"/>
      </w:pPr>
      <w:rPr>
        <w:rFonts w:ascii="Symbol" w:hAnsi="Symbol" w:hint="default"/>
      </w:rPr>
    </w:lvl>
    <w:lvl w:ilvl="4" w:tplc="04090003" w:tentative="1">
      <w:start w:val="1"/>
      <w:numFmt w:val="bullet"/>
      <w:lvlText w:val="o"/>
      <w:lvlJc w:val="left"/>
      <w:pPr>
        <w:tabs>
          <w:tab w:val="num" w:pos="2920"/>
        </w:tabs>
        <w:ind w:left="2920" w:hanging="360"/>
      </w:pPr>
      <w:rPr>
        <w:rFonts w:ascii="Courier New" w:hAnsi="Courier New" w:cs="Courier New" w:hint="default"/>
      </w:rPr>
    </w:lvl>
    <w:lvl w:ilvl="5" w:tplc="04090005" w:tentative="1">
      <w:start w:val="1"/>
      <w:numFmt w:val="bullet"/>
      <w:lvlText w:val=""/>
      <w:lvlJc w:val="left"/>
      <w:pPr>
        <w:tabs>
          <w:tab w:val="num" w:pos="3640"/>
        </w:tabs>
        <w:ind w:left="3640" w:hanging="360"/>
      </w:pPr>
      <w:rPr>
        <w:rFonts w:ascii="Wingdings" w:hAnsi="Wingdings" w:hint="default"/>
      </w:rPr>
    </w:lvl>
    <w:lvl w:ilvl="6" w:tplc="04090001" w:tentative="1">
      <w:start w:val="1"/>
      <w:numFmt w:val="bullet"/>
      <w:lvlText w:val=""/>
      <w:lvlJc w:val="left"/>
      <w:pPr>
        <w:tabs>
          <w:tab w:val="num" w:pos="4360"/>
        </w:tabs>
        <w:ind w:left="4360" w:hanging="360"/>
      </w:pPr>
      <w:rPr>
        <w:rFonts w:ascii="Symbol" w:hAnsi="Symbol" w:hint="default"/>
      </w:rPr>
    </w:lvl>
    <w:lvl w:ilvl="7" w:tplc="04090003" w:tentative="1">
      <w:start w:val="1"/>
      <w:numFmt w:val="bullet"/>
      <w:lvlText w:val="o"/>
      <w:lvlJc w:val="left"/>
      <w:pPr>
        <w:tabs>
          <w:tab w:val="num" w:pos="5080"/>
        </w:tabs>
        <w:ind w:left="5080" w:hanging="360"/>
      </w:pPr>
      <w:rPr>
        <w:rFonts w:ascii="Courier New" w:hAnsi="Courier New" w:cs="Courier New" w:hint="default"/>
      </w:rPr>
    </w:lvl>
    <w:lvl w:ilvl="8" w:tplc="04090005" w:tentative="1">
      <w:start w:val="1"/>
      <w:numFmt w:val="bullet"/>
      <w:lvlText w:val=""/>
      <w:lvlJc w:val="left"/>
      <w:pPr>
        <w:tabs>
          <w:tab w:val="num" w:pos="5800"/>
        </w:tabs>
        <w:ind w:left="5800" w:hanging="360"/>
      </w:pPr>
      <w:rPr>
        <w:rFonts w:ascii="Wingdings" w:hAnsi="Wingdings" w:hint="default"/>
      </w:rPr>
    </w:lvl>
  </w:abstractNum>
  <w:abstractNum w:abstractNumId="1">
    <w:nsid w:val="1EA71215"/>
    <w:multiLevelType w:val="hybridMultilevel"/>
    <w:tmpl w:val="BEA08C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4ED40C4"/>
    <w:multiLevelType w:val="hybridMultilevel"/>
    <w:tmpl w:val="BD587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6B86644"/>
    <w:multiLevelType w:val="hybridMultilevel"/>
    <w:tmpl w:val="F63CEEE2"/>
    <w:lvl w:ilvl="0" w:tplc="956A7E24">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760"/>
        </w:tabs>
        <w:ind w:left="760" w:hanging="360"/>
      </w:pPr>
      <w:rPr>
        <w:rFonts w:ascii="Courier New" w:hAnsi="Courier New" w:cs="Courier New" w:hint="default"/>
      </w:rPr>
    </w:lvl>
    <w:lvl w:ilvl="2" w:tplc="04090005" w:tentative="1">
      <w:start w:val="1"/>
      <w:numFmt w:val="bullet"/>
      <w:lvlText w:val=""/>
      <w:lvlJc w:val="left"/>
      <w:pPr>
        <w:tabs>
          <w:tab w:val="num" w:pos="1480"/>
        </w:tabs>
        <w:ind w:left="1480" w:hanging="360"/>
      </w:pPr>
      <w:rPr>
        <w:rFonts w:ascii="Wingdings" w:hAnsi="Wingdings" w:hint="default"/>
      </w:rPr>
    </w:lvl>
    <w:lvl w:ilvl="3" w:tplc="04090001" w:tentative="1">
      <w:start w:val="1"/>
      <w:numFmt w:val="bullet"/>
      <w:lvlText w:val=""/>
      <w:lvlJc w:val="left"/>
      <w:pPr>
        <w:tabs>
          <w:tab w:val="num" w:pos="2200"/>
        </w:tabs>
        <w:ind w:left="2200" w:hanging="360"/>
      </w:pPr>
      <w:rPr>
        <w:rFonts w:ascii="Symbol" w:hAnsi="Symbol" w:hint="default"/>
      </w:rPr>
    </w:lvl>
    <w:lvl w:ilvl="4" w:tplc="04090003" w:tentative="1">
      <w:start w:val="1"/>
      <w:numFmt w:val="bullet"/>
      <w:lvlText w:val="o"/>
      <w:lvlJc w:val="left"/>
      <w:pPr>
        <w:tabs>
          <w:tab w:val="num" w:pos="2920"/>
        </w:tabs>
        <w:ind w:left="2920" w:hanging="360"/>
      </w:pPr>
      <w:rPr>
        <w:rFonts w:ascii="Courier New" w:hAnsi="Courier New" w:cs="Courier New" w:hint="default"/>
      </w:rPr>
    </w:lvl>
    <w:lvl w:ilvl="5" w:tplc="04090005" w:tentative="1">
      <w:start w:val="1"/>
      <w:numFmt w:val="bullet"/>
      <w:lvlText w:val=""/>
      <w:lvlJc w:val="left"/>
      <w:pPr>
        <w:tabs>
          <w:tab w:val="num" w:pos="3640"/>
        </w:tabs>
        <w:ind w:left="3640" w:hanging="360"/>
      </w:pPr>
      <w:rPr>
        <w:rFonts w:ascii="Wingdings" w:hAnsi="Wingdings" w:hint="default"/>
      </w:rPr>
    </w:lvl>
    <w:lvl w:ilvl="6" w:tplc="04090001" w:tentative="1">
      <w:start w:val="1"/>
      <w:numFmt w:val="bullet"/>
      <w:lvlText w:val=""/>
      <w:lvlJc w:val="left"/>
      <w:pPr>
        <w:tabs>
          <w:tab w:val="num" w:pos="4360"/>
        </w:tabs>
        <w:ind w:left="4360" w:hanging="360"/>
      </w:pPr>
      <w:rPr>
        <w:rFonts w:ascii="Symbol" w:hAnsi="Symbol" w:hint="default"/>
      </w:rPr>
    </w:lvl>
    <w:lvl w:ilvl="7" w:tplc="04090003" w:tentative="1">
      <w:start w:val="1"/>
      <w:numFmt w:val="bullet"/>
      <w:lvlText w:val="o"/>
      <w:lvlJc w:val="left"/>
      <w:pPr>
        <w:tabs>
          <w:tab w:val="num" w:pos="5080"/>
        </w:tabs>
        <w:ind w:left="5080" w:hanging="360"/>
      </w:pPr>
      <w:rPr>
        <w:rFonts w:ascii="Courier New" w:hAnsi="Courier New" w:cs="Courier New" w:hint="default"/>
      </w:rPr>
    </w:lvl>
    <w:lvl w:ilvl="8" w:tplc="04090005" w:tentative="1">
      <w:start w:val="1"/>
      <w:numFmt w:val="bullet"/>
      <w:lvlText w:val=""/>
      <w:lvlJc w:val="left"/>
      <w:pPr>
        <w:tabs>
          <w:tab w:val="num" w:pos="5800"/>
        </w:tabs>
        <w:ind w:left="5800" w:hanging="360"/>
      </w:pPr>
      <w:rPr>
        <w:rFonts w:ascii="Wingdings" w:hAnsi="Wingdings" w:hint="default"/>
      </w:rPr>
    </w:lvl>
  </w:abstractNum>
  <w:abstractNum w:abstractNumId="4">
    <w:nsid w:val="40EF571C"/>
    <w:multiLevelType w:val="hybridMultilevel"/>
    <w:tmpl w:val="DE4EE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85B02B6"/>
    <w:multiLevelType w:val="multilevel"/>
    <w:tmpl w:val="73E21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8733F6"/>
    <w:multiLevelType w:val="hybridMultilevel"/>
    <w:tmpl w:val="55B0C20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
    <w:nsid w:val="56234094"/>
    <w:multiLevelType w:val="hybridMultilevel"/>
    <w:tmpl w:val="4D982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A71385C"/>
    <w:multiLevelType w:val="hybridMultilevel"/>
    <w:tmpl w:val="9D3EEB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6FA6702A"/>
    <w:multiLevelType w:val="hybridMultilevel"/>
    <w:tmpl w:val="DB586BF2"/>
    <w:lvl w:ilvl="0" w:tplc="956A7E24">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760"/>
        </w:tabs>
        <w:ind w:left="760" w:hanging="360"/>
      </w:pPr>
      <w:rPr>
        <w:rFonts w:ascii="Courier New" w:hAnsi="Courier New" w:cs="Courier New" w:hint="default"/>
      </w:rPr>
    </w:lvl>
    <w:lvl w:ilvl="2" w:tplc="04090005" w:tentative="1">
      <w:start w:val="1"/>
      <w:numFmt w:val="bullet"/>
      <w:lvlText w:val=""/>
      <w:lvlJc w:val="left"/>
      <w:pPr>
        <w:tabs>
          <w:tab w:val="num" w:pos="1480"/>
        </w:tabs>
        <w:ind w:left="1480" w:hanging="360"/>
      </w:pPr>
      <w:rPr>
        <w:rFonts w:ascii="Wingdings" w:hAnsi="Wingdings" w:hint="default"/>
      </w:rPr>
    </w:lvl>
    <w:lvl w:ilvl="3" w:tplc="04090001" w:tentative="1">
      <w:start w:val="1"/>
      <w:numFmt w:val="bullet"/>
      <w:lvlText w:val=""/>
      <w:lvlJc w:val="left"/>
      <w:pPr>
        <w:tabs>
          <w:tab w:val="num" w:pos="2200"/>
        </w:tabs>
        <w:ind w:left="2200" w:hanging="360"/>
      </w:pPr>
      <w:rPr>
        <w:rFonts w:ascii="Symbol" w:hAnsi="Symbol" w:hint="default"/>
      </w:rPr>
    </w:lvl>
    <w:lvl w:ilvl="4" w:tplc="04090003" w:tentative="1">
      <w:start w:val="1"/>
      <w:numFmt w:val="bullet"/>
      <w:lvlText w:val="o"/>
      <w:lvlJc w:val="left"/>
      <w:pPr>
        <w:tabs>
          <w:tab w:val="num" w:pos="2920"/>
        </w:tabs>
        <w:ind w:left="2920" w:hanging="360"/>
      </w:pPr>
      <w:rPr>
        <w:rFonts w:ascii="Courier New" w:hAnsi="Courier New" w:cs="Courier New" w:hint="default"/>
      </w:rPr>
    </w:lvl>
    <w:lvl w:ilvl="5" w:tplc="04090005" w:tentative="1">
      <w:start w:val="1"/>
      <w:numFmt w:val="bullet"/>
      <w:lvlText w:val=""/>
      <w:lvlJc w:val="left"/>
      <w:pPr>
        <w:tabs>
          <w:tab w:val="num" w:pos="3640"/>
        </w:tabs>
        <w:ind w:left="3640" w:hanging="360"/>
      </w:pPr>
      <w:rPr>
        <w:rFonts w:ascii="Wingdings" w:hAnsi="Wingdings" w:hint="default"/>
      </w:rPr>
    </w:lvl>
    <w:lvl w:ilvl="6" w:tplc="04090001" w:tentative="1">
      <w:start w:val="1"/>
      <w:numFmt w:val="bullet"/>
      <w:lvlText w:val=""/>
      <w:lvlJc w:val="left"/>
      <w:pPr>
        <w:tabs>
          <w:tab w:val="num" w:pos="4360"/>
        </w:tabs>
        <w:ind w:left="4360" w:hanging="360"/>
      </w:pPr>
      <w:rPr>
        <w:rFonts w:ascii="Symbol" w:hAnsi="Symbol" w:hint="default"/>
      </w:rPr>
    </w:lvl>
    <w:lvl w:ilvl="7" w:tplc="04090003" w:tentative="1">
      <w:start w:val="1"/>
      <w:numFmt w:val="bullet"/>
      <w:lvlText w:val="o"/>
      <w:lvlJc w:val="left"/>
      <w:pPr>
        <w:tabs>
          <w:tab w:val="num" w:pos="5080"/>
        </w:tabs>
        <w:ind w:left="5080" w:hanging="360"/>
      </w:pPr>
      <w:rPr>
        <w:rFonts w:ascii="Courier New" w:hAnsi="Courier New" w:cs="Courier New" w:hint="default"/>
      </w:rPr>
    </w:lvl>
    <w:lvl w:ilvl="8" w:tplc="04090005" w:tentative="1">
      <w:start w:val="1"/>
      <w:numFmt w:val="bullet"/>
      <w:lvlText w:val=""/>
      <w:lvlJc w:val="left"/>
      <w:pPr>
        <w:tabs>
          <w:tab w:val="num" w:pos="5800"/>
        </w:tabs>
        <w:ind w:left="5800" w:hanging="360"/>
      </w:pPr>
      <w:rPr>
        <w:rFonts w:ascii="Wingdings" w:hAnsi="Wingdings" w:hint="default"/>
      </w:rPr>
    </w:lvl>
  </w:abstractNum>
  <w:num w:numId="1">
    <w:abstractNumId w:val="0"/>
  </w:num>
  <w:num w:numId="2">
    <w:abstractNumId w:val="9"/>
  </w:num>
  <w:num w:numId="3">
    <w:abstractNumId w:val="3"/>
  </w:num>
  <w:num w:numId="4">
    <w:abstractNumId w:val="8"/>
  </w:num>
  <w:num w:numId="5">
    <w:abstractNumId w:val="6"/>
  </w:num>
  <w:num w:numId="6">
    <w:abstractNumId w:val="4"/>
  </w:num>
  <w:num w:numId="7">
    <w:abstractNumId w:val="7"/>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0014F"/>
    <w:rsid w:val="0000014F"/>
    <w:rsid w:val="0001326D"/>
    <w:rsid w:val="0004031D"/>
    <w:rsid w:val="000708BF"/>
    <w:rsid w:val="000D5069"/>
    <w:rsid w:val="000F4DDB"/>
    <w:rsid w:val="001953BB"/>
    <w:rsid w:val="001B5A51"/>
    <w:rsid w:val="001E5F1C"/>
    <w:rsid w:val="00236D03"/>
    <w:rsid w:val="003A2506"/>
    <w:rsid w:val="003B5EEA"/>
    <w:rsid w:val="003D3CC9"/>
    <w:rsid w:val="003F3D41"/>
    <w:rsid w:val="00405592"/>
    <w:rsid w:val="004F778C"/>
    <w:rsid w:val="00562D30"/>
    <w:rsid w:val="00616D9F"/>
    <w:rsid w:val="00641397"/>
    <w:rsid w:val="00672986"/>
    <w:rsid w:val="006731BE"/>
    <w:rsid w:val="00713AE2"/>
    <w:rsid w:val="007278F7"/>
    <w:rsid w:val="007454CC"/>
    <w:rsid w:val="007738C7"/>
    <w:rsid w:val="007C7BBF"/>
    <w:rsid w:val="008237B2"/>
    <w:rsid w:val="00922554"/>
    <w:rsid w:val="00981E91"/>
    <w:rsid w:val="009C319D"/>
    <w:rsid w:val="00A154FA"/>
    <w:rsid w:val="00A2529B"/>
    <w:rsid w:val="00A3128D"/>
    <w:rsid w:val="00A43914"/>
    <w:rsid w:val="00A61DE7"/>
    <w:rsid w:val="00AD6DA4"/>
    <w:rsid w:val="00B33457"/>
    <w:rsid w:val="00B526C3"/>
    <w:rsid w:val="00B864F9"/>
    <w:rsid w:val="00BC0455"/>
    <w:rsid w:val="00C66C8E"/>
    <w:rsid w:val="00D44545"/>
    <w:rsid w:val="00D76D35"/>
    <w:rsid w:val="00DA6EFF"/>
    <w:rsid w:val="00DC4EB4"/>
    <w:rsid w:val="00E21A3F"/>
    <w:rsid w:val="00E94CAB"/>
    <w:rsid w:val="00EE64E3"/>
    <w:rsid w:val="00F02EB9"/>
    <w:rsid w:val="00F42084"/>
    <w:rsid w:val="00F65619"/>
    <w:rsid w:val="00F93000"/>
    <w:rsid w:val="00FE2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78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14F"/>
  </w:style>
  <w:style w:type="paragraph" w:styleId="Footer">
    <w:name w:val="footer"/>
    <w:basedOn w:val="Normal"/>
    <w:link w:val="FooterChar"/>
    <w:uiPriority w:val="99"/>
    <w:unhideWhenUsed/>
    <w:rsid w:val="00922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554"/>
  </w:style>
  <w:style w:type="paragraph" w:styleId="BalloonText">
    <w:name w:val="Balloon Text"/>
    <w:basedOn w:val="Normal"/>
    <w:link w:val="BalloonTextChar"/>
    <w:uiPriority w:val="99"/>
    <w:semiHidden/>
    <w:unhideWhenUsed/>
    <w:rsid w:val="009225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2554"/>
    <w:rPr>
      <w:rFonts w:ascii="Tahoma" w:hAnsi="Tahoma" w:cs="Tahoma"/>
      <w:sz w:val="16"/>
      <w:szCs w:val="16"/>
    </w:rPr>
  </w:style>
  <w:style w:type="paragraph" w:customStyle="1" w:styleId="Default">
    <w:name w:val="Default"/>
    <w:rsid w:val="00AD6DA4"/>
    <w:pPr>
      <w:autoSpaceDE w:val="0"/>
      <w:autoSpaceDN w:val="0"/>
      <w:adjustRightInd w:val="0"/>
    </w:pPr>
    <w:rPr>
      <w:rFonts w:ascii="Times New Roman" w:hAnsi="Times New Roman"/>
      <w:color w:val="000000"/>
      <w:sz w:val="24"/>
      <w:szCs w:val="24"/>
      <w:lang w:eastAsia="en-US"/>
    </w:rPr>
  </w:style>
  <w:style w:type="paragraph" w:styleId="ListParagraph">
    <w:name w:val="List Paragraph"/>
    <w:basedOn w:val="Normal"/>
    <w:uiPriority w:val="34"/>
    <w:qFormat/>
    <w:rsid w:val="001E5F1C"/>
    <w:pPr>
      <w:ind w:left="720"/>
      <w:contextualSpacing/>
    </w:pPr>
  </w:style>
  <w:style w:type="character" w:styleId="Hyperlink">
    <w:name w:val="Hyperlink"/>
    <w:basedOn w:val="DefaultParagraphFont"/>
    <w:uiPriority w:val="99"/>
    <w:unhideWhenUsed/>
    <w:rsid w:val="00713A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433809">
      <w:bodyDiv w:val="1"/>
      <w:marLeft w:val="0"/>
      <w:marRight w:val="0"/>
      <w:marTop w:val="0"/>
      <w:marBottom w:val="0"/>
      <w:divBdr>
        <w:top w:val="none" w:sz="0" w:space="0" w:color="auto"/>
        <w:left w:val="none" w:sz="0" w:space="0" w:color="auto"/>
        <w:bottom w:val="none" w:sz="0" w:space="0" w:color="auto"/>
        <w:right w:val="none" w:sz="0" w:space="0" w:color="auto"/>
      </w:divBdr>
      <w:divsChild>
        <w:div w:id="1624579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cks.ac.uk/" TargetMode="External"/><Relationship Id="rId13" Type="http://schemas.openxmlformats.org/officeDocument/2006/relationships/hyperlink" Target="mailto:barbara.humbestone@bucks.ac.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aria.konstantaki@bucks.ac.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ucks.ac.uk/content/documents/Campus_Environment/Maps/High_Wycombe_Campus_map.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bucks.ac.uk/ageingwell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Bucks New University</Company>
  <LinksUpToDate>false</LinksUpToDate>
  <CharactersWithSpaces>4296</CharactersWithSpaces>
  <SharedDoc>false</SharedDoc>
  <HLinks>
    <vt:vector size="6" baseType="variant">
      <vt:variant>
        <vt:i4>8192047</vt:i4>
      </vt:variant>
      <vt:variant>
        <vt:i4>0</vt:i4>
      </vt:variant>
      <vt:variant>
        <vt:i4>0</vt:i4>
      </vt:variant>
      <vt:variant>
        <vt:i4>5</vt:i4>
      </vt:variant>
      <vt:variant>
        <vt:lpwstr>http://bucks.ac.uk/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dc:creator>
  <cp:lastModifiedBy>SWhite01</cp:lastModifiedBy>
  <cp:revision>2</cp:revision>
  <cp:lastPrinted>2014-02-14T13:17:00Z</cp:lastPrinted>
  <dcterms:created xsi:type="dcterms:W3CDTF">2015-03-06T12:23:00Z</dcterms:created>
  <dcterms:modified xsi:type="dcterms:W3CDTF">2015-03-06T12:23:00Z</dcterms:modified>
</cp:coreProperties>
</file>